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rsidR="0057789E" w:rsidRPr="003C776E" w:rsidRDefault="003C776E" w:rsidP="003C776E">
      <w:pPr>
        <w:pStyle w:val="GPSL1SCHEDULEHeading"/>
      </w:pPr>
      <w:bookmarkStart w:id="0" w:name="_Ref365638373"/>
      <w:r>
        <w:t>How Framework Prices are used to calculate Call-Off Charges</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cannot</w:t>
      </w:r>
      <w:proofErr w:type="gramEnd"/>
      <w:r w:rsidRPr="0057789E">
        <w:rPr>
          <w:rFonts w:ascii="Arial" w:hAnsi="Arial"/>
          <w:sz w:val="24"/>
          <w:szCs w:val="24"/>
        </w:rPr>
        <w:t xml:space="preserve"> be increased except as in accordance with this Schedule.</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rsidR="0057789E" w:rsidRPr="00045287" w:rsidRDefault="00045287"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highlight w:val="yellow"/>
        </w:rPr>
        <w:t>[</w:t>
      </w:r>
      <w:r w:rsidRPr="00045287">
        <w:rPr>
          <w:rFonts w:ascii="Arial" w:hAnsi="Arial"/>
          <w:b/>
          <w:sz w:val="24"/>
          <w:szCs w:val="24"/>
          <w:highlight w:val="yellow"/>
        </w:rPr>
        <w:t>Delete</w:t>
      </w:r>
      <w:r w:rsidRPr="00045287">
        <w:rPr>
          <w:rFonts w:ascii="Arial" w:hAnsi="Arial"/>
          <w:b/>
          <w:sz w:val="24"/>
          <w:szCs w:val="24"/>
        </w:rPr>
        <w:t xml:space="preserve"> </w:t>
      </w:r>
      <w:r w:rsidRPr="00045287">
        <w:rPr>
          <w:rFonts w:ascii="Arial" w:hAnsi="Arial"/>
          <w:sz w:val="24"/>
          <w:szCs w:val="24"/>
        </w:rPr>
        <w:t xml:space="preserve">if not applicable: </w:t>
      </w:r>
      <w:r w:rsidR="0057789E" w:rsidRPr="00045287">
        <w:rPr>
          <w:rFonts w:ascii="Arial" w:hAnsi="Arial"/>
          <w:sz w:val="24"/>
          <w:szCs w:val="24"/>
        </w:rPr>
        <w:t>cannot be increased except as specifically permitted by the Call Off Contract and in particular shall only be subject to Indexation where specifically stated in the Order Form; and]</w:t>
      </w:r>
    </w:p>
    <w:p w:rsidR="0057789E" w:rsidRPr="00045287" w:rsidRDefault="00045287"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highlight w:val="yellow"/>
        </w:rPr>
        <w:t>[</w:t>
      </w:r>
      <w:r w:rsidRPr="00045287">
        <w:rPr>
          <w:rFonts w:ascii="Arial" w:hAnsi="Arial"/>
          <w:b/>
          <w:sz w:val="24"/>
          <w:szCs w:val="24"/>
          <w:highlight w:val="yellow"/>
        </w:rPr>
        <w:t>Delete</w:t>
      </w:r>
      <w:r w:rsidRPr="00045287">
        <w:rPr>
          <w:rFonts w:ascii="Arial" w:hAnsi="Arial"/>
          <w:b/>
          <w:sz w:val="24"/>
          <w:szCs w:val="24"/>
        </w:rPr>
        <w:t xml:space="preserve"> </w:t>
      </w:r>
      <w:r w:rsidRPr="00045287">
        <w:rPr>
          <w:rFonts w:ascii="Arial" w:hAnsi="Arial"/>
          <w:sz w:val="24"/>
          <w:szCs w:val="24"/>
        </w:rPr>
        <w:t xml:space="preserve">if not applicable: </w:t>
      </w:r>
      <w:r w:rsidR="0057789E" w:rsidRPr="00045287">
        <w:rPr>
          <w:rFonts w:ascii="Arial" w:hAnsi="Arial"/>
          <w:sz w:val="24"/>
          <w:szCs w:val="24"/>
        </w:rPr>
        <w:t xml:space="preserve">shall not be impacted by any change to </w:t>
      </w:r>
      <w:proofErr w:type="gramStart"/>
      <w:r w:rsidR="0057789E" w:rsidRPr="00045287">
        <w:rPr>
          <w:rFonts w:ascii="Arial" w:hAnsi="Arial"/>
          <w:sz w:val="24"/>
          <w:szCs w:val="24"/>
        </w:rPr>
        <w:t>the</w:t>
      </w:r>
      <w:proofErr w:type="gramEnd"/>
      <w:r w:rsidR="0057789E" w:rsidRPr="00045287">
        <w:rPr>
          <w:rFonts w:ascii="Arial" w:hAnsi="Arial"/>
          <w:sz w:val="24"/>
          <w:szCs w:val="24"/>
        </w:rPr>
        <w:t xml:space="preserve"> Framework Prices.] </w:t>
      </w:r>
    </w:p>
    <w:p w:rsidR="0057789E" w:rsidRPr="00045287" w:rsidRDefault="00045287"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highlight w:val="yellow"/>
        </w:rPr>
        <w:t>[</w:t>
      </w:r>
      <w:r w:rsidRPr="00045287">
        <w:rPr>
          <w:rFonts w:ascii="Arial" w:hAnsi="Arial"/>
          <w:b/>
          <w:sz w:val="24"/>
          <w:szCs w:val="24"/>
          <w:highlight w:val="yellow"/>
        </w:rPr>
        <w:t xml:space="preserve">Delete </w:t>
      </w:r>
      <w:r w:rsidRPr="00045287">
        <w:rPr>
          <w:rFonts w:ascii="Arial" w:hAnsi="Arial"/>
          <w:sz w:val="24"/>
          <w:szCs w:val="24"/>
          <w:highlight w:val="yellow"/>
        </w:rPr>
        <w:t>if not applicable:</w:t>
      </w:r>
      <w:r w:rsidRPr="00045287">
        <w:rPr>
          <w:rFonts w:ascii="Arial" w:hAnsi="Arial"/>
          <w:sz w:val="24"/>
          <w:szCs w:val="24"/>
        </w:rPr>
        <w:t xml:space="preserve"> </w:t>
      </w:r>
      <w:r w:rsidR="0057789E" w:rsidRPr="00045287">
        <w:rPr>
          <w:rFonts w:ascii="Arial" w:hAnsi="Arial"/>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bookmarkEnd w:id="1"/>
    <w:p w:rsidR="0057789E" w:rsidRPr="00045287" w:rsidRDefault="00973BE3" w:rsidP="003C776E">
      <w:pPr>
        <w:pStyle w:val="GPSL1SCHEDULEHeading"/>
      </w:pPr>
      <w:r>
        <w:t>How Framework Prices are calculated</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w:t>
      </w:r>
      <w:proofErr w:type="gramStart"/>
      <w:r w:rsidRPr="0057789E">
        <w:rPr>
          <w:rFonts w:ascii="Arial" w:hAnsi="Arial"/>
          <w:sz w:val="24"/>
          <w:szCs w:val="24"/>
        </w:rPr>
        <w:t>Off</w:t>
      </w:r>
      <w:proofErr w:type="gramEnd"/>
      <w:r w:rsidRPr="0057789E">
        <w:rPr>
          <w:rFonts w:ascii="Arial" w:hAnsi="Arial"/>
          <w:sz w:val="24"/>
          <w:szCs w:val="24"/>
        </w:rPr>
        <w:t xml:space="preserve"> Contracts.</w:t>
      </w:r>
    </w:p>
    <w:p w:rsidR="0057789E" w:rsidRPr="0057789E" w:rsidRDefault="00973BE3" w:rsidP="003C776E">
      <w:pPr>
        <w:pStyle w:val="GPSL1SCHEDULEHeading"/>
      </w:pPr>
      <w:bookmarkStart w:id="2" w:name="_DV_M64"/>
      <w:bookmarkStart w:id="3" w:name="_DV_M65"/>
      <w:bookmarkStart w:id="4" w:name="LASTCURSORPOSITION"/>
      <w:bookmarkEnd w:id="2"/>
      <w:bookmarkEnd w:id="3"/>
      <w:bookmarkEnd w:id="4"/>
      <w:r>
        <w:t>Are c</w:t>
      </w:r>
      <w:r w:rsidR="003C776E">
        <w:t>osts and expens</w:t>
      </w:r>
      <w:r w:rsidR="0057789E" w:rsidRPr="0057789E">
        <w:t>es</w:t>
      </w:r>
      <w:r>
        <w:t xml:space="preserve"> are included in the Framework Prices</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highlight w:val="yellow"/>
        </w:rPr>
        <w:t>[</w:t>
      </w:r>
      <w:r w:rsidR="00F328EC" w:rsidRPr="00F328EC">
        <w:rPr>
          <w:rFonts w:ascii="Arial" w:hAnsi="Arial"/>
          <w:b/>
          <w:sz w:val="24"/>
          <w:szCs w:val="24"/>
          <w:highlight w:val="yellow"/>
        </w:rPr>
        <w:t xml:space="preserve">Delete </w:t>
      </w:r>
      <w:r w:rsidR="00F328EC" w:rsidRPr="00F328EC">
        <w:rPr>
          <w:rFonts w:ascii="Arial" w:hAnsi="Arial"/>
          <w:sz w:val="24"/>
          <w:szCs w:val="24"/>
        </w:rPr>
        <w:t xml:space="preserve">if Paragraph 4 is not used: </w:t>
      </w:r>
      <w:r w:rsidR="009D6528" w:rsidRPr="00F328EC">
        <w:rPr>
          <w:rFonts w:ascii="Arial" w:hAnsi="Arial"/>
          <w:sz w:val="24"/>
          <w:szCs w:val="24"/>
        </w:rPr>
        <w:t>Except as expressly set out in P</w:t>
      </w:r>
      <w:r w:rsidRPr="00F328EC">
        <w:rPr>
          <w:rFonts w:ascii="Arial" w:hAnsi="Arial"/>
          <w:sz w:val="24"/>
          <w:szCs w:val="24"/>
        </w:rPr>
        <w:t>aragraph 4 below, or otherwise stated in a Call Off Order Form]</w:t>
      </w:r>
      <w:r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proofErr w:type="gramStart"/>
      <w:r w:rsidRPr="0057789E">
        <w:rPr>
          <w:rFonts w:ascii="Arial" w:hAnsi="Arial"/>
          <w:sz w:val="24"/>
          <w:szCs w:val="24"/>
        </w:rPr>
        <w:t>costs</w:t>
      </w:r>
      <w:proofErr w:type="gramEnd"/>
      <w:r w:rsidRPr="0057789E">
        <w:rPr>
          <w:rFonts w:ascii="Arial" w:hAnsi="Arial"/>
          <w:sz w:val="24"/>
          <w:szCs w:val="24"/>
        </w:rPr>
        <w:t xml:space="preserve"> incurred prior to the commencement of any Call Off Contract.</w:t>
      </w:r>
    </w:p>
    <w:p w:rsidR="0057789E" w:rsidRPr="0057789E" w:rsidRDefault="009427C1" w:rsidP="003C776E">
      <w:pPr>
        <w:pStyle w:val="GPSL1SCHEDULEHeading"/>
      </w:pPr>
      <w:r>
        <w:t>When the Supplier can ask to change the Framework Prices</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first </w:t>
      </w:r>
      <w:r w:rsidRPr="00F328EC">
        <w:rPr>
          <w:rFonts w:ascii="Arial" w:hAnsi="Arial"/>
          <w:b/>
          <w:sz w:val="24"/>
          <w:szCs w:val="24"/>
          <w:highlight w:val="yellow"/>
        </w:rPr>
        <w:t>[</w:t>
      </w:r>
      <w:r w:rsidR="00F328EC" w:rsidRPr="00F328EC">
        <w:rPr>
          <w:rFonts w:ascii="Arial" w:hAnsi="Arial"/>
          <w:b/>
          <w:sz w:val="24"/>
          <w:szCs w:val="24"/>
          <w:highlight w:val="yellow"/>
        </w:rPr>
        <w:t>Insert:</w:t>
      </w:r>
      <w:r w:rsidR="00F328EC">
        <w:rPr>
          <w:rFonts w:ascii="Arial" w:hAnsi="Arial"/>
          <w:sz w:val="24"/>
          <w:szCs w:val="24"/>
          <w:highlight w:val="yellow"/>
        </w:rPr>
        <w:t xml:space="preserve"> number</w:t>
      </w:r>
      <w:r w:rsidRPr="00F328EC">
        <w:rPr>
          <w:rFonts w:ascii="Arial" w:hAnsi="Arial"/>
          <w:sz w:val="24"/>
          <w:szCs w:val="24"/>
          <w:highlight w:val="yellow"/>
        </w:rPr>
        <w:t>]</w:t>
      </w:r>
      <w:r w:rsidRPr="00F328EC">
        <w:rPr>
          <w:rFonts w:ascii="Arial" w:hAnsi="Arial"/>
          <w:sz w:val="24"/>
          <w:szCs w:val="24"/>
        </w:rPr>
        <w:t xml:space="preserve"> years following the Framework Contract Commencement Date (the date of </w:t>
      </w:r>
      <w:r w:rsidRPr="00F328EC">
        <w:rPr>
          <w:rFonts w:ascii="Arial" w:hAnsi="Arial"/>
          <w:sz w:val="24"/>
          <w:szCs w:val="24"/>
        </w:rPr>
        <w:lastRenderedPageBreak/>
        <w:t>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5"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5"/>
      <w:r w:rsidRPr="00F328EC">
        <w:rPr>
          <w:rFonts w:ascii="Arial" w:hAnsi="Arial"/>
          <w:sz w:val="24"/>
          <w:szCs w:val="24"/>
        </w:rPr>
        <w:t>:</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rsidR="0057789E" w:rsidRPr="0057789E" w:rsidRDefault="0057789E" w:rsidP="0057789E">
      <w:pPr>
        <w:pStyle w:val="GPSL4numberedclause"/>
        <w:tabs>
          <w:tab w:val="left" w:pos="1985"/>
          <w:tab w:val="left" w:pos="2552"/>
        </w:tabs>
        <w:ind w:left="1985" w:hanging="815"/>
        <w:jc w:val="left"/>
        <w:rPr>
          <w:rFonts w:ascii="Arial" w:hAnsi="Arial"/>
          <w:b/>
          <w:i/>
          <w:sz w:val="24"/>
          <w:szCs w:val="24"/>
          <w:highlight w:val="yellow"/>
        </w:rPr>
      </w:pPr>
      <w:r w:rsidRPr="0057789E">
        <w:rPr>
          <w:rFonts w:ascii="Arial" w:hAnsi="Arial"/>
          <w:sz w:val="24"/>
          <w:szCs w:val="24"/>
          <w:highlight w:val="yellow"/>
        </w:rPr>
        <w:t>[a breakdown of the profit and cost components that comprise the relevant Framework Price; ]</w:t>
      </w:r>
    </w:p>
    <w:p w:rsidR="0057789E" w:rsidRPr="0057789E" w:rsidRDefault="0057789E" w:rsidP="0057789E">
      <w:pPr>
        <w:pStyle w:val="GPSL4Guidance"/>
        <w:tabs>
          <w:tab w:val="clear" w:pos="1985"/>
        </w:tabs>
        <w:ind w:left="0"/>
        <w:jc w:val="left"/>
        <w:rPr>
          <w:rFonts w:ascii="Arial" w:hAnsi="Arial"/>
          <w:b w:val="0"/>
          <w:i w:val="0"/>
          <w:sz w:val="24"/>
          <w:szCs w:val="24"/>
        </w:rPr>
      </w:pPr>
      <w:r w:rsidRPr="0057789E">
        <w:rPr>
          <w:rFonts w:ascii="Arial" w:hAnsi="Arial"/>
          <w:i w:val="0"/>
          <w:sz w:val="24"/>
          <w:szCs w:val="24"/>
          <w:highlight w:val="yellow"/>
        </w:rPr>
        <w:t xml:space="preserve">[Guidance Note: </w:t>
      </w:r>
      <w:r w:rsidRPr="0057789E">
        <w:rPr>
          <w:rFonts w:ascii="Arial" w:hAnsi="Arial"/>
          <w:b w:val="0"/>
          <w:i w:val="0"/>
          <w:sz w:val="24"/>
          <w:szCs w:val="24"/>
        </w:rPr>
        <w:t>Consider requesting a breakdown of the cost and profit elements for each line item (or similar groups of line items) in the Framework Prices as part of the initial procurement. This provides a benchmark against which future price reviews can be checked]</w:t>
      </w:r>
    </w:p>
    <w:p w:rsidR="0057789E" w:rsidRPr="0057789E" w:rsidRDefault="0057789E" w:rsidP="0057789E">
      <w:pPr>
        <w:pStyle w:val="GPSL4numberedclause"/>
        <w:tabs>
          <w:tab w:val="left" w:pos="1985"/>
          <w:tab w:val="left" w:pos="2552"/>
        </w:tabs>
        <w:ind w:left="1985" w:hanging="815"/>
        <w:jc w:val="left"/>
        <w:rPr>
          <w:rFonts w:ascii="Arial" w:hAnsi="Arial"/>
          <w:sz w:val="24"/>
          <w:szCs w:val="24"/>
          <w:highlight w:val="yellow"/>
        </w:rPr>
      </w:pPr>
      <w:r w:rsidRPr="0057789E">
        <w:rPr>
          <w:rFonts w:ascii="Arial" w:hAnsi="Arial"/>
          <w:sz w:val="24"/>
          <w:szCs w:val="24"/>
          <w:highlight w:val="yellow"/>
        </w:rPr>
        <w:t>[details of the movement in the different identified cost components of the relevant Framework Price;]</w:t>
      </w:r>
    </w:p>
    <w:p w:rsidR="0057789E" w:rsidRPr="0057789E" w:rsidRDefault="0057789E" w:rsidP="0057789E">
      <w:pPr>
        <w:pStyle w:val="GPSL4numberedclause"/>
        <w:tabs>
          <w:tab w:val="left" w:pos="1985"/>
          <w:tab w:val="left" w:pos="2552"/>
        </w:tabs>
        <w:ind w:left="1985" w:hanging="815"/>
        <w:jc w:val="left"/>
        <w:rPr>
          <w:rFonts w:ascii="Arial" w:hAnsi="Arial"/>
          <w:sz w:val="24"/>
          <w:szCs w:val="24"/>
          <w:highlight w:val="yellow"/>
        </w:rPr>
      </w:pPr>
      <w:r w:rsidRPr="0057789E">
        <w:rPr>
          <w:rFonts w:ascii="Arial" w:hAnsi="Arial"/>
          <w:sz w:val="24"/>
          <w:szCs w:val="24"/>
          <w:highlight w:val="yellow"/>
        </w:rPr>
        <w:t>[reasons for the movement in the different identified cost components of the relevant Framework Price;]</w:t>
      </w:r>
    </w:p>
    <w:p w:rsidR="0057789E" w:rsidRPr="0057789E" w:rsidRDefault="0057789E" w:rsidP="0057789E">
      <w:pPr>
        <w:pStyle w:val="GPSL4numberedclause"/>
        <w:tabs>
          <w:tab w:val="left" w:pos="1985"/>
          <w:tab w:val="left" w:pos="2552"/>
        </w:tabs>
        <w:ind w:left="1985" w:hanging="815"/>
        <w:jc w:val="left"/>
        <w:rPr>
          <w:rFonts w:ascii="Arial" w:hAnsi="Arial"/>
          <w:sz w:val="24"/>
          <w:szCs w:val="24"/>
          <w:highlight w:val="yellow"/>
        </w:rPr>
      </w:pPr>
      <w:r w:rsidRPr="0057789E">
        <w:rPr>
          <w:rFonts w:ascii="Arial" w:hAnsi="Arial"/>
          <w:sz w:val="24"/>
          <w:szCs w:val="24"/>
          <w:highlight w:val="yellow"/>
        </w:rPr>
        <w:t>[evidence that the Supplier has attempted to mitigate against the increase in the relevant cost components; and]</w:t>
      </w:r>
    </w:p>
    <w:p w:rsidR="0057789E" w:rsidRPr="0057789E" w:rsidRDefault="0057789E" w:rsidP="0057789E">
      <w:pPr>
        <w:pStyle w:val="GPSL4numberedclause"/>
        <w:tabs>
          <w:tab w:val="left" w:pos="1985"/>
          <w:tab w:val="left" w:pos="2552"/>
        </w:tabs>
        <w:ind w:left="1985" w:hanging="815"/>
        <w:jc w:val="left"/>
        <w:rPr>
          <w:rFonts w:ascii="Arial" w:hAnsi="Arial"/>
          <w:sz w:val="24"/>
          <w:szCs w:val="24"/>
          <w:highlight w:val="yellow"/>
        </w:rPr>
      </w:pPr>
      <w:r w:rsidRPr="0057789E">
        <w:rPr>
          <w:rFonts w:ascii="Arial" w:hAnsi="Arial"/>
          <w:sz w:val="24"/>
          <w:szCs w:val="24"/>
          <w:highlight w:val="yellow"/>
        </w:rPr>
        <w:t>[</w:t>
      </w:r>
      <w:proofErr w:type="gramStart"/>
      <w:r w:rsidRPr="0057789E">
        <w:rPr>
          <w:rFonts w:ascii="Arial" w:hAnsi="Arial"/>
          <w:sz w:val="24"/>
          <w:szCs w:val="24"/>
          <w:highlight w:val="yellow"/>
        </w:rPr>
        <w:t>evidence</w:t>
      </w:r>
      <w:proofErr w:type="gramEnd"/>
      <w:r w:rsidRPr="0057789E">
        <w:rPr>
          <w:rFonts w:ascii="Arial" w:hAnsi="Arial"/>
          <w:sz w:val="24"/>
          <w:szCs w:val="24"/>
          <w:highlight w:val="yellow"/>
        </w:rPr>
        <w:t xml:space="preserve"> that the Supplier’s profit component of the relevant  Framework Price is no greater than that applying to Framework Prices using the same pricing mechanism as at the Contract Commencement Date.]</w:t>
      </w:r>
    </w:p>
    <w:p w:rsidR="0057789E" w:rsidRPr="0057789E" w:rsidRDefault="0057789E" w:rsidP="0057789E">
      <w:pPr>
        <w:pStyle w:val="GPSL4Guidance"/>
        <w:tabs>
          <w:tab w:val="clear" w:pos="1985"/>
        </w:tabs>
        <w:ind w:left="0"/>
        <w:jc w:val="left"/>
        <w:rPr>
          <w:rFonts w:ascii="Arial" w:hAnsi="Arial"/>
          <w:b w:val="0"/>
          <w:i w:val="0"/>
          <w:sz w:val="24"/>
          <w:szCs w:val="24"/>
        </w:rPr>
      </w:pPr>
      <w:r w:rsidRPr="0057789E">
        <w:rPr>
          <w:rFonts w:ascii="Arial" w:hAnsi="Arial"/>
          <w:i w:val="0"/>
          <w:sz w:val="24"/>
          <w:szCs w:val="24"/>
          <w:highlight w:val="yellow"/>
        </w:rPr>
        <w:t xml:space="preserve">[Guidance Note: </w:t>
      </w:r>
      <w:r w:rsidRPr="0057789E">
        <w:rPr>
          <w:rFonts w:ascii="Arial" w:hAnsi="Arial"/>
          <w:b w:val="0"/>
          <w:i w:val="0"/>
          <w:sz w:val="24"/>
          <w:szCs w:val="24"/>
        </w:rPr>
        <w:t>Add anything else CCS expects to see from Suppliers.  This assumes the Supplier will not be entitled to an increase in the profit element.  It may be argued by suppliers that general inflationary pressure devalues the profit element and it too should be increased by a measure such as the Consumer Price Index (CPI).]</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highlight w:val="yellow"/>
        </w:rPr>
      </w:pPr>
      <w:r w:rsidRPr="0057789E">
        <w:rPr>
          <w:rFonts w:ascii="Arial" w:hAnsi="Arial"/>
          <w:sz w:val="24"/>
          <w:szCs w:val="24"/>
          <w:highlight w:val="yellow"/>
        </w:rPr>
        <w:t>CCS shall consider each request for a price increase.  CCS may grant Approval to an increase at its sole discretion.</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highlight w:val="yellow"/>
        </w:rPr>
        <w:t>Where CCS approves an increase then it will be implemented from the first (1st) Working Day following the relevant Review Date or such later date as CCS may determine at its sole discretion and Annex 1 shall be updated accordingly.</w:t>
      </w:r>
    </w:p>
    <w:p w:rsidR="0057789E" w:rsidRPr="0057789E" w:rsidRDefault="007A2CAF" w:rsidP="003C776E">
      <w:pPr>
        <w:pStyle w:val="GPSL1SCHEDULEHeading"/>
      </w:pPr>
      <w:r>
        <w:t>Other events that allow the Supplier to change the Framework Prices</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lastRenderedPageBreak/>
        <w:t>a Specific Change in Law in accordance with Clause 24;</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rsidR="0057789E" w:rsidRPr="0057789E" w:rsidRDefault="0057789E" w:rsidP="0057789E">
      <w:pPr>
        <w:pStyle w:val="GPSL3numberedclause"/>
        <w:tabs>
          <w:tab w:val="clear" w:pos="2127"/>
        </w:tabs>
        <w:ind w:left="1980" w:hanging="810"/>
        <w:jc w:val="left"/>
        <w:rPr>
          <w:rFonts w:ascii="Arial" w:hAnsi="Arial"/>
          <w:sz w:val="24"/>
          <w:szCs w:val="24"/>
        </w:rPr>
      </w:pPr>
      <w:r w:rsidRPr="006325DC">
        <w:rPr>
          <w:rFonts w:ascii="Arial" w:hAnsi="Arial"/>
          <w:b/>
          <w:sz w:val="24"/>
          <w:szCs w:val="24"/>
          <w:highlight w:val="yellow"/>
        </w:rPr>
        <w:t>[</w:t>
      </w:r>
      <w:r w:rsidR="006325DC" w:rsidRPr="006325DC">
        <w:rPr>
          <w:rFonts w:ascii="Arial" w:hAnsi="Arial"/>
          <w:b/>
          <w:sz w:val="24"/>
          <w:szCs w:val="24"/>
          <w:highlight w:val="yellow"/>
        </w:rPr>
        <w:t>Delete</w:t>
      </w:r>
      <w:r w:rsidR="006325DC">
        <w:rPr>
          <w:rFonts w:ascii="Arial" w:hAnsi="Arial"/>
          <w:sz w:val="24"/>
          <w:szCs w:val="24"/>
        </w:rPr>
        <w:t xml:space="preserve"> if there is no Benchmarking Schedule:: </w:t>
      </w:r>
      <w:r w:rsidRPr="0057789E">
        <w:rPr>
          <w:rFonts w:ascii="Arial" w:hAnsi="Arial"/>
          <w:sz w:val="24"/>
          <w:szCs w:val="24"/>
        </w:rPr>
        <w:t xml:space="preserve">a benchmarking review in accordance with </w:t>
      </w:r>
      <w:r w:rsidR="006325DC">
        <w:rPr>
          <w:rFonts w:ascii="Arial" w:hAnsi="Arial"/>
          <w:sz w:val="24"/>
          <w:szCs w:val="24"/>
        </w:rPr>
        <w:t>Call Off Schedule 16 (Benchmarking)]</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p>
    <w:p w:rsidR="00F328EC" w:rsidRDefault="0057789E" w:rsidP="0057789E">
      <w:pPr>
        <w:pStyle w:val="GPSL3numberedclause"/>
        <w:tabs>
          <w:tab w:val="clear" w:pos="2127"/>
        </w:tabs>
        <w:ind w:left="1980" w:hanging="810"/>
        <w:jc w:val="left"/>
        <w:rPr>
          <w:rFonts w:ascii="Arial" w:hAnsi="Arial"/>
          <w:sz w:val="24"/>
          <w:szCs w:val="24"/>
        </w:rPr>
      </w:pPr>
      <w:r w:rsidRPr="00F328EC">
        <w:rPr>
          <w:rFonts w:ascii="Arial" w:hAnsi="Arial"/>
          <w:sz w:val="24"/>
          <w:szCs w:val="24"/>
          <w:highlight w:val="yellow"/>
        </w:rPr>
        <w:t>[</w:t>
      </w:r>
      <w:r w:rsidR="00F328EC" w:rsidRPr="00F328EC">
        <w:rPr>
          <w:rFonts w:ascii="Arial" w:hAnsi="Arial"/>
          <w:b/>
          <w:sz w:val="24"/>
          <w:szCs w:val="24"/>
          <w:highlight w:val="yellow"/>
        </w:rPr>
        <w:t>Delete</w:t>
      </w:r>
      <w:r w:rsidR="00F328EC" w:rsidRPr="00F328EC">
        <w:rPr>
          <w:rFonts w:ascii="Arial" w:hAnsi="Arial"/>
          <w:b/>
          <w:sz w:val="24"/>
          <w:szCs w:val="24"/>
        </w:rPr>
        <w:t xml:space="preserve"> </w:t>
      </w:r>
      <w:r w:rsidR="00F328EC" w:rsidRPr="00F328EC">
        <w:rPr>
          <w:rFonts w:ascii="Arial" w:hAnsi="Arial"/>
          <w:sz w:val="24"/>
          <w:szCs w:val="24"/>
        </w:rPr>
        <w:t>Cl</w:t>
      </w:r>
      <w:r w:rsidR="00F328EC">
        <w:rPr>
          <w:rFonts w:ascii="Arial" w:hAnsi="Arial"/>
          <w:sz w:val="24"/>
          <w:szCs w:val="24"/>
        </w:rPr>
        <w:t>ause if Paragraph 7 is not used]</w:t>
      </w:r>
    </w:p>
    <w:p w:rsidR="0057789E" w:rsidRPr="00F328EC" w:rsidRDefault="0057789E" w:rsidP="00F328EC">
      <w:pPr>
        <w:pStyle w:val="GPSL3numberedclause"/>
        <w:numPr>
          <w:ilvl w:val="0"/>
          <w:numId w:val="0"/>
        </w:numPr>
        <w:tabs>
          <w:tab w:val="clear" w:pos="2127"/>
        </w:tabs>
        <w:ind w:left="1980"/>
        <w:jc w:val="left"/>
        <w:rPr>
          <w:rFonts w:ascii="Arial" w:hAnsi="Arial"/>
          <w:sz w:val="24"/>
          <w:szCs w:val="24"/>
        </w:rPr>
      </w:pPr>
      <w:r w:rsidRPr="00F328EC">
        <w:rPr>
          <w:rFonts w:ascii="Arial" w:hAnsi="Arial"/>
          <w:sz w:val="24"/>
          <w:szCs w:val="24"/>
        </w:rPr>
        <w:t>indexation, where Annex 1 states that a particular Framework Price or any component is “subject</w:t>
      </w:r>
      <w:r w:rsidR="009D6528" w:rsidRPr="00F328EC">
        <w:rPr>
          <w:rFonts w:ascii="Arial" w:hAnsi="Arial"/>
          <w:sz w:val="24"/>
          <w:szCs w:val="24"/>
        </w:rPr>
        <w:t xml:space="preserve"> to Indexation” in which event P</w:t>
      </w:r>
      <w:r w:rsidRPr="00F328EC">
        <w:rPr>
          <w:rFonts w:ascii="Arial" w:hAnsi="Arial"/>
          <w:sz w:val="24"/>
          <w:szCs w:val="24"/>
        </w:rPr>
        <w:t xml:space="preserve">aragraph 7 below shall apply.] </w:t>
      </w:r>
    </w:p>
    <w:p w:rsidR="0057789E" w:rsidRPr="006C4AE2" w:rsidRDefault="0057789E" w:rsidP="003C776E">
      <w:pPr>
        <w:pStyle w:val="GPSL1SCHEDULEHeading"/>
        <w:rPr>
          <w:highlight w:val="yellow"/>
        </w:rPr>
      </w:pPr>
      <w:r w:rsidRPr="0057789E">
        <w:rPr>
          <w:highlight w:val="yellow"/>
        </w:rPr>
        <w:t>[</w:t>
      </w:r>
      <w:r w:rsidR="00F328EC" w:rsidRPr="006C4AE2">
        <w:rPr>
          <w:highlight w:val="yellow"/>
        </w:rPr>
        <w:t xml:space="preserve">Delete </w:t>
      </w:r>
      <w:r w:rsidR="00045287" w:rsidRPr="006C4AE2">
        <w:rPr>
          <w:highlight w:val="yellow"/>
        </w:rPr>
        <w:t>paragraph</w:t>
      </w:r>
      <w:r w:rsidR="00F328EC" w:rsidRPr="006C4AE2">
        <w:rPr>
          <w:highlight w:val="yellow"/>
        </w:rPr>
        <w:t xml:space="preserve"> if not applicable: </w:t>
      </w:r>
      <w:r w:rsidR="007A2CAF">
        <w:rPr>
          <w:highlight w:val="yellow"/>
        </w:rPr>
        <w:t>When the Framework Prices are linked to inflation</w:t>
      </w:r>
      <w:r w:rsidRPr="006C4AE2">
        <w:rPr>
          <w:highlight w:val="yellow"/>
        </w:rPr>
        <w:t>]</w:t>
      </w:r>
      <w:r w:rsidR="009D6528" w:rsidRPr="006C4AE2">
        <w:rPr>
          <w:highlight w:val="yellow"/>
        </w:rPr>
        <w:t xml:space="preserve"> </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Where </w:t>
      </w:r>
      <w:r w:rsidR="006C4AE2" w:rsidRPr="00F328EC">
        <w:rPr>
          <w:rFonts w:ascii="Arial" w:hAnsi="Arial"/>
          <w:b/>
          <w:sz w:val="24"/>
          <w:szCs w:val="24"/>
          <w:highlight w:val="yellow"/>
        </w:rPr>
        <w:t>[Inser</w:t>
      </w:r>
      <w:r w:rsidR="006C4AE2">
        <w:rPr>
          <w:rFonts w:ascii="Arial" w:hAnsi="Arial"/>
          <w:b/>
          <w:sz w:val="24"/>
          <w:szCs w:val="24"/>
          <w:highlight w:val="yellow"/>
        </w:rPr>
        <w:t xml:space="preserve">t if other items are subject to variation: </w:t>
      </w:r>
      <w:r w:rsidRPr="006C4AE2">
        <w:rPr>
          <w:rFonts w:ascii="Arial" w:hAnsi="Arial"/>
          <w:sz w:val="24"/>
          <w:szCs w:val="24"/>
          <w:highlight w:val="yellow"/>
        </w:rPr>
        <w:t>any amounts</w:t>
      </w:r>
      <w:proofErr w:type="gramStart"/>
      <w:r w:rsidRPr="006C4AE2">
        <w:rPr>
          <w:rFonts w:ascii="Arial" w:hAnsi="Arial"/>
          <w:sz w:val="24"/>
          <w:szCs w:val="24"/>
          <w:highlight w:val="yellow"/>
        </w:rPr>
        <w:t>][</w:t>
      </w:r>
      <w:proofErr w:type="gramEnd"/>
      <w:r w:rsidRPr="006C4AE2">
        <w:rPr>
          <w:rFonts w:ascii="Arial" w:hAnsi="Arial"/>
          <w:sz w:val="24"/>
          <w:szCs w:val="24"/>
          <w:highlight w:val="yellow"/>
        </w:rPr>
        <w:t>the Framework Charges]</w:t>
      </w:r>
      <w:r w:rsidRPr="006C4AE2">
        <w:rPr>
          <w:rFonts w:ascii="Arial" w:hAnsi="Arial"/>
          <w:sz w:val="24"/>
          <w:szCs w:val="24"/>
        </w:rPr>
        <w:t xml:space="preserve">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Framework Prices shall not be indexed during the first </w:t>
      </w:r>
      <w:r w:rsidR="006C4AE2" w:rsidRPr="00F328EC">
        <w:rPr>
          <w:rFonts w:ascii="Arial" w:hAnsi="Arial"/>
          <w:b/>
          <w:sz w:val="24"/>
          <w:szCs w:val="24"/>
          <w:highlight w:val="yellow"/>
        </w:rPr>
        <w:t>[Insert:</w:t>
      </w:r>
      <w:r w:rsidR="006C4AE2">
        <w:rPr>
          <w:rFonts w:ascii="Arial" w:hAnsi="Arial"/>
          <w:sz w:val="24"/>
          <w:szCs w:val="24"/>
          <w:highlight w:val="yellow"/>
        </w:rPr>
        <w:t xml:space="preserve"> number</w:t>
      </w:r>
      <w:r w:rsidR="006C4AE2" w:rsidRPr="00F328EC">
        <w:rPr>
          <w:rFonts w:ascii="Arial" w:hAnsi="Arial"/>
          <w:sz w:val="24"/>
          <w:szCs w:val="24"/>
          <w:highlight w:val="yellow"/>
        </w:rPr>
        <w:t>]</w:t>
      </w:r>
      <w:r w:rsidR="006C4AE2" w:rsidRPr="00F328EC">
        <w:rPr>
          <w:rFonts w:ascii="Arial" w:hAnsi="Arial"/>
          <w:sz w:val="24"/>
          <w:szCs w:val="24"/>
        </w:rPr>
        <w:t xml:space="preserve"> </w:t>
      </w:r>
      <w:r w:rsidRPr="006C4AE2">
        <w:rPr>
          <w:rFonts w:ascii="Arial" w:hAnsi="Arial"/>
          <w:sz w:val="24"/>
          <w:szCs w:val="24"/>
        </w:rPr>
        <w:t xml:space="preserve">years following the Framework Contract Commencement Date.  </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Where Annex 1 states a Framework Price is subject to Indexation then it will be indexed on the date which is </w:t>
      </w:r>
      <w:r w:rsidR="006C4AE2" w:rsidRPr="00F328EC">
        <w:rPr>
          <w:rFonts w:ascii="Arial" w:hAnsi="Arial"/>
          <w:b/>
          <w:sz w:val="24"/>
          <w:szCs w:val="24"/>
          <w:highlight w:val="yellow"/>
        </w:rPr>
        <w:t>[Insert:</w:t>
      </w:r>
      <w:r w:rsidR="006C4AE2">
        <w:rPr>
          <w:rFonts w:ascii="Arial" w:hAnsi="Arial"/>
          <w:sz w:val="24"/>
          <w:szCs w:val="24"/>
          <w:highlight w:val="yellow"/>
        </w:rPr>
        <w:t xml:space="preserve"> number</w:t>
      </w:r>
      <w:r w:rsidR="006C4AE2" w:rsidRPr="00F328EC">
        <w:rPr>
          <w:rFonts w:ascii="Arial" w:hAnsi="Arial"/>
          <w:sz w:val="24"/>
          <w:szCs w:val="24"/>
          <w:highlight w:val="yellow"/>
        </w:rPr>
        <w:t>]</w:t>
      </w:r>
      <w:r w:rsidR="006C4AE2" w:rsidRPr="00F328EC">
        <w:rPr>
          <w:rFonts w:ascii="Arial" w:hAnsi="Arial"/>
          <w:sz w:val="24"/>
          <w:szCs w:val="24"/>
        </w:rPr>
        <w:t xml:space="preserve"> </w:t>
      </w:r>
      <w:r w:rsidRPr="006C4AE2">
        <w:rPr>
          <w:rFonts w:ascii="Arial" w:hAnsi="Arial"/>
          <w:sz w:val="24"/>
          <w:szCs w:val="24"/>
        </w:rPr>
        <w:t>years after the Framework Commencement Date to reflect the percentage change in the CPI since the Framework Commencement Date.  They shall be indexed on each following yearly anniversary to reflect the percentage change in the CPI since the previous change.</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Where the CPI Index:</w:t>
      </w:r>
    </w:p>
    <w:p w:rsidR="0057789E" w:rsidRPr="006C4AE2" w:rsidRDefault="0057789E" w:rsidP="0057789E">
      <w:pPr>
        <w:pStyle w:val="GPSL3numberedclause"/>
        <w:tabs>
          <w:tab w:val="clear" w:pos="2127"/>
        </w:tabs>
        <w:ind w:left="1980" w:hanging="810"/>
        <w:jc w:val="left"/>
        <w:rPr>
          <w:rFonts w:ascii="Arial" w:hAnsi="Arial"/>
          <w:sz w:val="24"/>
          <w:szCs w:val="24"/>
        </w:rPr>
      </w:pPr>
      <w:r w:rsidRPr="006C4AE2">
        <w:rPr>
          <w:rFonts w:ascii="Arial" w:hAnsi="Arial"/>
          <w:sz w:val="24"/>
          <w:szCs w:val="24"/>
        </w:rPr>
        <w:t xml:space="preserve">used to carry out an indexation calculation is updated (for example due to it being provisional) then the indexation calculation shall also be updated unless CPS and the Supplier agree otherwise; </w:t>
      </w:r>
    </w:p>
    <w:p w:rsidR="0057789E" w:rsidRDefault="0057789E" w:rsidP="0057789E">
      <w:pPr>
        <w:pStyle w:val="GPSL3numberedclause"/>
        <w:tabs>
          <w:tab w:val="clear" w:pos="2127"/>
        </w:tabs>
        <w:ind w:left="1980" w:hanging="810"/>
        <w:jc w:val="left"/>
        <w:rPr>
          <w:rFonts w:ascii="Arial" w:hAnsi="Arial"/>
          <w:sz w:val="24"/>
          <w:szCs w:val="24"/>
        </w:rPr>
      </w:pPr>
      <w:proofErr w:type="gramStart"/>
      <w:r w:rsidRPr="006C4AE2">
        <w:rPr>
          <w:rFonts w:ascii="Arial" w:hAnsi="Arial"/>
          <w:sz w:val="24"/>
          <w:szCs w:val="24"/>
        </w:rPr>
        <w:t>is</w:t>
      </w:r>
      <w:proofErr w:type="gramEnd"/>
      <w:r w:rsidRPr="006C4AE2">
        <w:rPr>
          <w:rFonts w:ascii="Arial" w:hAnsi="Arial"/>
          <w:sz w:val="24"/>
          <w:szCs w:val="24"/>
        </w:rPr>
        <w:t xml:space="preserve"> no longer published, CCS and the Supplier shall agree a fair and reasonable replacement that will have substantially the same effect.]</w:t>
      </w:r>
    </w:p>
    <w:p w:rsidR="00A9462A" w:rsidRPr="0057789E" w:rsidRDefault="00A9462A" w:rsidP="00A9462A">
      <w:pPr>
        <w:pStyle w:val="GPSL1SCHEDULEHeading"/>
        <w:rPr>
          <w:highlight w:val="yellow"/>
        </w:rPr>
      </w:pPr>
      <w:r w:rsidRPr="0057789E">
        <w:rPr>
          <w:highlight w:val="yellow"/>
        </w:rPr>
        <w:t>[</w:t>
      </w:r>
      <w:r w:rsidRPr="00045287">
        <w:rPr>
          <w:highlight w:val="yellow"/>
        </w:rPr>
        <w:t>Delete Paragraph if not applicable</w:t>
      </w:r>
      <w:r>
        <w:rPr>
          <w:highlight w:val="yellow"/>
        </w:rPr>
        <w:t>: When you will be reimbursed for travel and subsistence</w:t>
      </w:r>
      <w:r w:rsidRPr="0057789E">
        <w:rPr>
          <w:highlight w:val="yellow"/>
        </w:rPr>
        <w:t>]</w:t>
      </w:r>
    </w:p>
    <w:p w:rsidR="00A9462A" w:rsidRPr="00F328EC" w:rsidRDefault="00A9462A" w:rsidP="00A9462A">
      <w:pPr>
        <w:pStyle w:val="GPSL2Numbered"/>
        <w:numPr>
          <w:ilvl w:val="1"/>
          <w:numId w:val="1"/>
        </w:numPr>
        <w:tabs>
          <w:tab w:val="clear" w:pos="709"/>
        </w:tabs>
        <w:ind w:left="1134" w:hanging="504"/>
        <w:jc w:val="left"/>
        <w:rPr>
          <w:rFonts w:ascii="Arial" w:hAnsi="Arial"/>
          <w:sz w:val="24"/>
          <w:szCs w:val="24"/>
        </w:rPr>
      </w:pPr>
      <w:r>
        <w:rPr>
          <w:rFonts w:ascii="Arial" w:hAnsi="Arial"/>
          <w:sz w:val="24"/>
          <w:szCs w:val="24"/>
        </w:rPr>
        <w:t>[</w:t>
      </w:r>
      <w:r w:rsidRPr="00F328EC">
        <w:rPr>
          <w:rFonts w:ascii="Arial" w:hAnsi="Arial"/>
          <w:sz w:val="24"/>
          <w:szCs w:val="24"/>
        </w:rPr>
        <w:t>Expenses shall only be recoverable where:</w:t>
      </w:r>
    </w:p>
    <w:p w:rsidR="00A9462A" w:rsidRPr="0057789E"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the Time and Materials pricing mechanism is used; and</w:t>
      </w:r>
    </w:p>
    <w:p w:rsidR="00A9462A" w:rsidRPr="0057789E"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the Order Form states that recovery is permitted; and</w:t>
      </w:r>
    </w:p>
    <w:p w:rsidR="00A9462A" w:rsidRPr="0057789E" w:rsidRDefault="00A9462A" w:rsidP="00A9462A">
      <w:pPr>
        <w:pStyle w:val="GPSL3numberedclause"/>
        <w:tabs>
          <w:tab w:val="clear" w:pos="1985"/>
          <w:tab w:val="clear" w:pos="2127"/>
          <w:tab w:val="left" w:pos="1980"/>
        </w:tabs>
        <w:ind w:left="1980" w:hanging="810"/>
        <w:jc w:val="left"/>
        <w:rPr>
          <w:rFonts w:ascii="Arial" w:hAnsi="Arial"/>
          <w:sz w:val="24"/>
          <w:szCs w:val="24"/>
        </w:rPr>
      </w:pPr>
      <w:proofErr w:type="gramStart"/>
      <w:r w:rsidRPr="0057789E">
        <w:rPr>
          <w:rFonts w:ascii="Arial" w:hAnsi="Arial"/>
          <w:sz w:val="24"/>
          <w:szCs w:val="24"/>
        </w:rPr>
        <w:lastRenderedPageBreak/>
        <w:t>they</w:t>
      </w:r>
      <w:proofErr w:type="gramEnd"/>
      <w:r w:rsidRPr="0057789E">
        <w:rPr>
          <w:rFonts w:ascii="Arial" w:hAnsi="Arial"/>
          <w:sz w:val="24"/>
          <w:szCs w:val="24"/>
        </w:rPr>
        <w:t xml:space="preserve"> are </w:t>
      </w:r>
      <w:proofErr w:type="spellStart"/>
      <w:r w:rsidRPr="0057789E">
        <w:rPr>
          <w:rFonts w:ascii="Arial" w:hAnsi="Arial"/>
          <w:sz w:val="24"/>
          <w:szCs w:val="24"/>
        </w:rPr>
        <w:t>Reimburseable</w:t>
      </w:r>
      <w:proofErr w:type="spellEnd"/>
      <w:r w:rsidRPr="0057789E">
        <w:rPr>
          <w:rFonts w:ascii="Arial" w:hAnsi="Arial"/>
          <w:sz w:val="24"/>
          <w:szCs w:val="24"/>
        </w:rPr>
        <w:t xml:space="preserve"> Expenses and are supported by Supporting Documentation.</w:t>
      </w:r>
    </w:p>
    <w:p w:rsidR="00A9462A" w:rsidRDefault="00A9462A" w:rsidP="00A9462A">
      <w:pPr>
        <w:pStyle w:val="GPSL2Numbered"/>
        <w:numPr>
          <w:ilvl w:val="1"/>
          <w:numId w:val="1"/>
        </w:numPr>
        <w:tabs>
          <w:tab w:val="clear" w:pos="709"/>
        </w:tabs>
        <w:ind w:left="1134" w:hanging="504"/>
        <w:jc w:val="left"/>
        <w:rPr>
          <w:rFonts w:ascii="Arial" w:hAnsi="Arial"/>
          <w:sz w:val="24"/>
          <w:szCs w:val="24"/>
          <w:highlight w:val="yellow"/>
        </w:rPr>
      </w:pPr>
      <w:r w:rsidRPr="0057789E">
        <w:rPr>
          <w:rFonts w:ascii="Arial" w:hAnsi="Arial"/>
          <w:sz w:val="24"/>
          <w:szCs w:val="24"/>
          <w:highlight w:val="yellow"/>
        </w:rPr>
        <w:t>The Buyer shall provide a copy of their current expenses policy to the Supplier upon request. ]</w:t>
      </w:r>
      <w:bookmarkStart w:id="6" w:name="_Ref366090681"/>
    </w:p>
    <w:p w:rsidR="003450C5" w:rsidRPr="0057789E" w:rsidRDefault="003450C5" w:rsidP="003450C5">
      <w:pPr>
        <w:pStyle w:val="GPSL1CLAUSEHEADING"/>
        <w:numPr>
          <w:ilvl w:val="0"/>
          <w:numId w:val="0"/>
        </w:numPr>
        <w:ind w:left="644"/>
        <w:rPr>
          <w:highlight w:val="yellow"/>
        </w:rPr>
      </w:pPr>
    </w:p>
    <w:bookmarkEnd w:id="6"/>
    <w:p w:rsidR="00A9462A" w:rsidRPr="006C4AE2" w:rsidRDefault="00A9462A" w:rsidP="00A9462A">
      <w:pPr>
        <w:pStyle w:val="GPSL3numberedclause"/>
        <w:numPr>
          <w:ilvl w:val="0"/>
          <w:numId w:val="0"/>
        </w:numPr>
        <w:tabs>
          <w:tab w:val="clear" w:pos="2127"/>
        </w:tabs>
        <w:jc w:val="left"/>
        <w:rPr>
          <w:rFonts w:ascii="Arial" w:hAnsi="Arial"/>
          <w:sz w:val="24"/>
          <w:szCs w:val="24"/>
        </w:rPr>
      </w:pPr>
    </w:p>
    <w:p w:rsidR="0057789E" w:rsidRPr="005313B5"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7" w:name="_Toc366085183"/>
      <w:bookmarkStart w:id="8" w:name="_Toc380428744"/>
      <w:bookmarkStart w:id="9" w:name="_Toc431568213"/>
      <w:bookmarkStart w:id="10" w:name="_Toc292714633"/>
      <w:bookmarkStart w:id="11" w:name="_Toc366085184"/>
      <w:bookmarkStart w:id="12" w:name="_Toc380428745"/>
      <w:bookmarkStart w:id="13" w:name="_Toc431568214"/>
      <w:bookmarkEnd w:id="7"/>
      <w:bookmarkEnd w:id="8"/>
      <w:bookmarkEnd w:id="9"/>
      <w:r w:rsidRPr="005313B5">
        <w:rPr>
          <w:rFonts w:ascii="Arial" w:eastAsia="Calibri" w:hAnsi="Arial" w:cs="Arial"/>
          <w:b/>
          <w:bCs/>
          <w:iCs/>
          <w:sz w:val="36"/>
          <w:szCs w:val="36"/>
        </w:rPr>
        <w:lastRenderedPageBreak/>
        <w:t>A</w:t>
      </w:r>
      <w:bookmarkEnd w:id="10"/>
      <w:bookmarkEnd w:id="11"/>
      <w:bookmarkEnd w:id="12"/>
      <w:bookmarkEnd w:id="13"/>
      <w:r w:rsidR="007A2CAF">
        <w:rPr>
          <w:rFonts w:ascii="Arial" w:eastAsia="Calibri" w:hAnsi="Arial" w:cs="Arial"/>
          <w:b/>
          <w:bCs/>
          <w:iCs/>
          <w:sz w:val="36"/>
          <w:szCs w:val="36"/>
        </w:rPr>
        <w:t>nnex 1: Rates and Prices</w:t>
      </w:r>
    </w:p>
    <w:p w:rsidR="00F033D6" w:rsidRPr="00F033D6" w:rsidRDefault="00F033D6" w:rsidP="0057789E">
      <w:pPr>
        <w:pStyle w:val="GPSSchPart"/>
        <w:ind w:firstLine="0"/>
        <w:jc w:val="left"/>
        <w:rPr>
          <w:rFonts w:ascii="Arial" w:eastAsia="Times New Roman" w:hAnsi="Arial" w:cs="Arial"/>
          <w:caps w:val="0"/>
          <w:sz w:val="24"/>
          <w:szCs w:val="24"/>
          <w:lang w:eastAsia="en-US"/>
        </w:rPr>
      </w:pPr>
      <w:r w:rsidRPr="00F033D6">
        <w:rPr>
          <w:rFonts w:ascii="Arial" w:eastAsia="Times New Roman" w:hAnsi="Arial" w:cs="Arial"/>
          <w:caps w:val="0"/>
          <w:sz w:val="24"/>
          <w:szCs w:val="24"/>
          <w:lang w:eastAsia="en-US"/>
        </w:rPr>
        <w:t>Table 1</w:t>
      </w:r>
      <w:r>
        <w:rPr>
          <w:rFonts w:ascii="Arial" w:eastAsia="Times New Roman" w:hAnsi="Arial" w:cs="Arial"/>
          <w:caps w:val="0"/>
          <w:sz w:val="24"/>
          <w:szCs w:val="24"/>
          <w:lang w:eastAsia="en-US"/>
        </w:rPr>
        <w:t>:</w:t>
      </w:r>
      <w:r w:rsidRPr="00F033D6">
        <w:rPr>
          <w:rFonts w:ascii="Arial" w:eastAsia="Times New Roman" w:hAnsi="Arial" w:cs="Arial"/>
          <w:caps w:val="0"/>
          <w:sz w:val="24"/>
          <w:szCs w:val="24"/>
          <w:lang w:eastAsia="en-US"/>
        </w:rPr>
        <w:t xml:space="preserve"> Time and Materials</w:t>
      </w:r>
    </w:p>
    <w:p w:rsidR="0057789E" w:rsidRPr="005313B5" w:rsidRDefault="0057789E" w:rsidP="0057789E">
      <w:pPr>
        <w:pStyle w:val="GPSSchPart"/>
        <w:ind w:firstLine="0"/>
        <w:jc w:val="left"/>
        <w:rPr>
          <w:rFonts w:ascii="Arial" w:eastAsia="Times New Roman" w:hAnsi="Arial" w:cs="Arial"/>
          <w:b w:val="0"/>
          <w:caps w:val="0"/>
          <w:sz w:val="24"/>
          <w:szCs w:val="24"/>
          <w:lang w:eastAsia="en-US"/>
        </w:rPr>
      </w:pPr>
      <w:r w:rsidRPr="005313B5">
        <w:rPr>
          <w:rFonts w:ascii="Arial" w:eastAsia="Times New Roman" w:hAnsi="Arial" w:cs="Arial"/>
          <w:b w:val="0"/>
          <w:caps w:val="0"/>
          <w:sz w:val="24"/>
          <w:szCs w:val="24"/>
          <w:lang w:eastAsia="en-US"/>
        </w:rPr>
        <w:t>The Supplier (and its Sub-Contractor) shall not be entitled to include any uplift for risks or contingencies within its day rates</w:t>
      </w:r>
    </w:p>
    <w:p w:rsidR="0057789E" w:rsidRPr="005313B5" w:rsidRDefault="0057789E" w:rsidP="0057789E">
      <w:pPr>
        <w:pStyle w:val="GPSL1Guidance"/>
        <w:ind w:left="0"/>
        <w:jc w:val="left"/>
        <w:rPr>
          <w:rFonts w:ascii="Arial" w:hAnsi="Arial"/>
          <w:sz w:val="24"/>
          <w:szCs w:val="24"/>
        </w:rPr>
      </w:pPr>
      <w:r w:rsidRPr="005313B5">
        <w:rPr>
          <w:rFonts w:ascii="Arial" w:hAnsi="Arial"/>
          <w:b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4450"/>
        <w:gridCol w:w="4566"/>
      </w:tblGrid>
      <w:tr w:rsidR="0057789E" w:rsidRPr="005313B5" w:rsidTr="00327167">
        <w:tc>
          <w:tcPr>
            <w:tcW w:w="2468"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Staff Grade</w:t>
            </w:r>
          </w:p>
        </w:tc>
        <w:tc>
          <w:tcPr>
            <w:tcW w:w="2532"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Day Rate (£)</w:t>
            </w:r>
          </w:p>
        </w:tc>
      </w:tr>
      <w:tr w:rsidR="0057789E" w:rsidRPr="005313B5" w:rsidTr="00327167">
        <w:tc>
          <w:tcPr>
            <w:tcW w:w="2468" w:type="pct"/>
          </w:tcPr>
          <w:p w:rsidR="0057789E" w:rsidRPr="005313B5" w:rsidRDefault="0057789E" w:rsidP="0057789E">
            <w:pPr>
              <w:pStyle w:val="MarginText"/>
              <w:jc w:val="left"/>
              <w:rPr>
                <w:rFonts w:ascii="Arial" w:hAnsi="Arial" w:cs="Arial"/>
                <w:sz w:val="24"/>
                <w:szCs w:val="24"/>
              </w:rPr>
            </w:pPr>
          </w:p>
        </w:tc>
        <w:tc>
          <w:tcPr>
            <w:tcW w:w="2532" w:type="pct"/>
          </w:tcPr>
          <w:p w:rsidR="0057789E" w:rsidRPr="005313B5" w:rsidRDefault="0057789E" w:rsidP="0057789E">
            <w:pPr>
              <w:pStyle w:val="MarginText"/>
              <w:jc w:val="left"/>
              <w:rPr>
                <w:rFonts w:ascii="Arial" w:hAnsi="Arial" w:cs="Arial"/>
                <w:sz w:val="24"/>
                <w:szCs w:val="24"/>
              </w:rPr>
            </w:pPr>
          </w:p>
        </w:tc>
      </w:tr>
      <w:tr w:rsidR="0057789E" w:rsidRPr="005313B5" w:rsidTr="00327167">
        <w:tc>
          <w:tcPr>
            <w:tcW w:w="2468" w:type="pct"/>
          </w:tcPr>
          <w:p w:rsidR="0057789E" w:rsidRPr="005313B5" w:rsidRDefault="0057789E" w:rsidP="0057789E">
            <w:pPr>
              <w:pStyle w:val="MarginText"/>
              <w:jc w:val="left"/>
              <w:rPr>
                <w:rFonts w:ascii="Arial" w:hAnsi="Arial" w:cs="Arial"/>
                <w:sz w:val="24"/>
                <w:szCs w:val="24"/>
              </w:rPr>
            </w:pPr>
          </w:p>
        </w:tc>
        <w:tc>
          <w:tcPr>
            <w:tcW w:w="2532" w:type="pct"/>
          </w:tcPr>
          <w:p w:rsidR="0057789E" w:rsidRPr="005313B5" w:rsidRDefault="0057789E" w:rsidP="0057789E">
            <w:pPr>
              <w:pStyle w:val="MarginText"/>
              <w:jc w:val="left"/>
              <w:rPr>
                <w:rFonts w:ascii="Arial" w:hAnsi="Arial" w:cs="Arial"/>
                <w:sz w:val="24"/>
                <w:szCs w:val="24"/>
              </w:rPr>
            </w:pPr>
          </w:p>
        </w:tc>
      </w:tr>
    </w:tbl>
    <w:p w:rsidR="00F033D6" w:rsidRPr="00F033D6" w:rsidRDefault="00F033D6" w:rsidP="00F033D6">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Table 2:</w:t>
      </w:r>
      <w:r w:rsidRPr="00F033D6">
        <w:rPr>
          <w:rFonts w:ascii="Arial" w:eastAsia="Times New Roman" w:hAnsi="Arial" w:cs="Arial"/>
          <w:caps w:val="0"/>
          <w:sz w:val="24"/>
          <w:szCs w:val="24"/>
          <w:lang w:eastAsia="en-US"/>
        </w:rPr>
        <w:t xml:space="preserve"> </w:t>
      </w:r>
      <w:r>
        <w:rPr>
          <w:rFonts w:ascii="Arial" w:eastAsia="Times New Roman" w:hAnsi="Arial" w:cs="Arial"/>
          <w:caps w:val="0"/>
          <w:sz w:val="24"/>
          <w:szCs w:val="24"/>
          <w:lang w:eastAsia="en-US"/>
        </w:rPr>
        <w:t>Fixed Prices</w:t>
      </w:r>
    </w:p>
    <w:p w:rsidR="0057789E" w:rsidRPr="005313B5" w:rsidRDefault="0057789E" w:rsidP="0057789E">
      <w:pPr>
        <w:pStyle w:val="GPSL1Guidance"/>
        <w:ind w:left="0"/>
        <w:jc w:val="left"/>
        <w:rPr>
          <w:rFonts w:ascii="Arial" w:hAnsi="Arial"/>
          <w:sz w:val="24"/>
          <w:szCs w:val="24"/>
        </w:rPr>
      </w:pPr>
      <w:r w:rsidRPr="005313B5">
        <w:rPr>
          <w:rFonts w:ascii="Arial" w:hAnsi="Arial"/>
          <w:b w:val="0"/>
          <w:i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4508"/>
        <w:gridCol w:w="4508"/>
      </w:tblGrid>
      <w:tr w:rsidR="0057789E" w:rsidRPr="005313B5" w:rsidTr="00327167">
        <w:tc>
          <w:tcPr>
            <w:tcW w:w="250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Framework Price</w:t>
            </w:r>
          </w:p>
        </w:tc>
        <w:tc>
          <w:tcPr>
            <w:tcW w:w="2500" w:type="pct"/>
            <w:shd w:val="clear" w:color="auto" w:fill="548DD4" w:themeFill="text2" w:themeFillTint="99"/>
          </w:tcPr>
          <w:p w:rsidR="0057789E" w:rsidRPr="005313B5" w:rsidRDefault="0057789E" w:rsidP="0057789E">
            <w:pPr>
              <w:pStyle w:val="MarginText"/>
              <w:jc w:val="left"/>
              <w:rPr>
                <w:rFonts w:ascii="Arial" w:hAnsi="Arial" w:cs="Arial"/>
                <w:b/>
                <w:bCs/>
                <w:sz w:val="24"/>
                <w:szCs w:val="24"/>
              </w:rPr>
            </w:pPr>
            <w:r w:rsidRPr="005313B5">
              <w:rPr>
                <w:rFonts w:ascii="Arial" w:hAnsi="Arial" w:cs="Arial"/>
                <w:b/>
                <w:bCs/>
                <w:sz w:val="24"/>
                <w:szCs w:val="24"/>
              </w:rPr>
              <w:t>Fixed Framework Price (£)</w:t>
            </w:r>
          </w:p>
        </w:tc>
      </w:tr>
      <w:tr w:rsidR="0057789E" w:rsidRPr="005313B5" w:rsidTr="00327167">
        <w:tc>
          <w:tcPr>
            <w:tcW w:w="2500" w:type="pc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M3]</w:t>
            </w:r>
          </w:p>
        </w:tc>
        <w:tc>
          <w:tcPr>
            <w:tcW w:w="2500" w:type="pct"/>
            <w:shd w:val="clear" w:color="auto" w:fill="FFFFFF"/>
          </w:tcPr>
          <w:p w:rsidR="0057789E" w:rsidRPr="005313B5" w:rsidRDefault="0057789E" w:rsidP="0057789E">
            <w:pPr>
              <w:pStyle w:val="MarginText"/>
              <w:jc w:val="left"/>
              <w:rPr>
                <w:rFonts w:ascii="Arial" w:hAnsi="Arial" w:cs="Arial"/>
                <w:sz w:val="24"/>
                <w:szCs w:val="24"/>
              </w:rPr>
            </w:pPr>
          </w:p>
        </w:tc>
      </w:tr>
      <w:tr w:rsidR="0057789E" w:rsidRPr="005313B5" w:rsidTr="00327167">
        <w:tc>
          <w:tcPr>
            <w:tcW w:w="2500" w:type="pc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SC3]</w:t>
            </w:r>
          </w:p>
        </w:tc>
        <w:tc>
          <w:tcPr>
            <w:tcW w:w="2500" w:type="pct"/>
            <w:shd w:val="clear" w:color="auto" w:fill="FFFFFF"/>
          </w:tcPr>
          <w:p w:rsidR="0057789E" w:rsidRPr="005313B5" w:rsidRDefault="0057789E" w:rsidP="0057789E">
            <w:pPr>
              <w:pStyle w:val="MarginText"/>
              <w:jc w:val="left"/>
              <w:rPr>
                <w:rFonts w:ascii="Arial" w:hAnsi="Arial" w:cs="Arial"/>
                <w:sz w:val="24"/>
                <w:szCs w:val="24"/>
              </w:rPr>
            </w:pPr>
          </w:p>
        </w:tc>
      </w:tr>
    </w:tbl>
    <w:p w:rsidR="0057789E" w:rsidRPr="005313B5" w:rsidRDefault="0057789E" w:rsidP="0057789E">
      <w:pPr>
        <w:rPr>
          <w:rFonts w:ascii="Arial" w:eastAsia="STZhongsong" w:hAnsi="Arial" w:cs="Arial"/>
          <w:b/>
          <w:caps/>
          <w:sz w:val="24"/>
          <w:szCs w:val="24"/>
          <w:lang w:eastAsia="zh-CN"/>
        </w:rPr>
      </w:pPr>
      <w:bookmarkStart w:id="14" w:name="_DV_M295"/>
      <w:bookmarkStart w:id="15" w:name="_DV_M298"/>
      <w:bookmarkStart w:id="16" w:name="_DV_M299"/>
      <w:bookmarkStart w:id="17" w:name="_DV_M300"/>
      <w:bookmarkStart w:id="18" w:name="_DV_M303"/>
      <w:bookmarkStart w:id="19" w:name="_DV_M304"/>
      <w:bookmarkEnd w:id="14"/>
      <w:bookmarkEnd w:id="15"/>
      <w:bookmarkEnd w:id="16"/>
      <w:bookmarkEnd w:id="17"/>
      <w:bookmarkEnd w:id="18"/>
      <w:bookmarkEnd w:id="19"/>
    </w:p>
    <w:p w:rsidR="00F033D6" w:rsidRPr="00F033D6" w:rsidRDefault="00F033D6" w:rsidP="00F033D6">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Table 3:</w:t>
      </w:r>
      <w:r w:rsidRPr="00F033D6">
        <w:rPr>
          <w:rFonts w:ascii="Arial" w:eastAsia="Times New Roman" w:hAnsi="Arial" w:cs="Arial"/>
          <w:caps w:val="0"/>
          <w:sz w:val="24"/>
          <w:szCs w:val="24"/>
          <w:lang w:eastAsia="en-US"/>
        </w:rPr>
        <w:t xml:space="preserve"> </w:t>
      </w:r>
      <w:r>
        <w:rPr>
          <w:rFonts w:ascii="Arial" w:eastAsia="Times New Roman" w:hAnsi="Arial" w:cs="Arial"/>
          <w:caps w:val="0"/>
          <w:sz w:val="24"/>
          <w:szCs w:val="24"/>
          <w:lang w:eastAsia="en-US"/>
        </w:rPr>
        <w:t>Volume Based Prices</w:t>
      </w:r>
    </w:p>
    <w:p w:rsidR="0057789E" w:rsidRPr="005313B5" w:rsidRDefault="0057789E" w:rsidP="0057789E">
      <w:pPr>
        <w:pStyle w:val="GPSL1Guidance"/>
        <w:ind w:left="-142"/>
        <w:jc w:val="left"/>
        <w:rPr>
          <w:rFonts w:ascii="Arial" w:hAnsi="Arial"/>
          <w:sz w:val="24"/>
          <w:szCs w:val="24"/>
        </w:rPr>
      </w:pPr>
      <w:r w:rsidRPr="005313B5">
        <w:rPr>
          <w:rFonts w:ascii="Arial" w:hAnsi="Arial"/>
          <w:b w:val="0"/>
          <w:i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2254"/>
        <w:gridCol w:w="2254"/>
        <w:gridCol w:w="2254"/>
        <w:gridCol w:w="2254"/>
      </w:tblGrid>
      <w:tr w:rsidR="0057789E" w:rsidRPr="005313B5" w:rsidTr="00327167">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Framework Price Number</w:t>
            </w:r>
          </w:p>
        </w:tc>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Unit</w:t>
            </w:r>
          </w:p>
        </w:tc>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Number of units per Service Period</w:t>
            </w:r>
          </w:p>
        </w:tc>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Charge per unit (£)</w:t>
            </w:r>
          </w:p>
        </w:tc>
      </w:tr>
      <w:tr w:rsidR="0057789E" w:rsidRPr="005313B5" w:rsidTr="00327167">
        <w:tc>
          <w:tcPr>
            <w:tcW w:w="1250" w:type="pct"/>
            <w:vMerge w:val="restar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SC1]</w:t>
            </w:r>
          </w:p>
        </w:tc>
        <w:tc>
          <w:tcPr>
            <w:tcW w:w="1250" w:type="pct"/>
            <w:vMerge w:val="restart"/>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rsidTr="00327167">
        <w:trPr>
          <w:trHeight w:val="701"/>
        </w:trPr>
        <w:tc>
          <w:tcPr>
            <w:tcW w:w="1250" w:type="pct"/>
            <w:vMerge/>
          </w:tcPr>
          <w:p w:rsidR="0057789E" w:rsidRPr="005313B5" w:rsidRDefault="0057789E" w:rsidP="0057789E">
            <w:pPr>
              <w:pStyle w:val="MarginText"/>
              <w:jc w:val="left"/>
              <w:rPr>
                <w:rFonts w:ascii="Arial" w:hAnsi="Arial" w:cs="Arial"/>
                <w:sz w:val="24"/>
                <w:szCs w:val="24"/>
                <w:highlight w:val="yellow"/>
              </w:rPr>
            </w:pPr>
          </w:p>
        </w:tc>
        <w:tc>
          <w:tcPr>
            <w:tcW w:w="1250" w:type="pct"/>
            <w:vMerge/>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rsidTr="00327167">
        <w:tc>
          <w:tcPr>
            <w:tcW w:w="1250" w:type="pct"/>
            <w:vMerge w:val="restar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SC2]</w:t>
            </w:r>
          </w:p>
        </w:tc>
        <w:tc>
          <w:tcPr>
            <w:tcW w:w="1250" w:type="pct"/>
            <w:vMerge w:val="restart"/>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rsidTr="00327167">
        <w:tc>
          <w:tcPr>
            <w:tcW w:w="1250" w:type="pct"/>
            <w:vMerge/>
          </w:tcPr>
          <w:p w:rsidR="0057789E" w:rsidRPr="005313B5" w:rsidRDefault="0057789E" w:rsidP="0057789E">
            <w:pPr>
              <w:pStyle w:val="MarginText"/>
              <w:jc w:val="left"/>
              <w:rPr>
                <w:rFonts w:ascii="Arial" w:hAnsi="Arial" w:cs="Arial"/>
                <w:sz w:val="24"/>
                <w:szCs w:val="24"/>
              </w:rPr>
            </w:pPr>
          </w:p>
        </w:tc>
        <w:tc>
          <w:tcPr>
            <w:tcW w:w="1250" w:type="pct"/>
            <w:vMerge/>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bookmarkEnd w:id="0"/>
    </w:tbl>
    <w:p w:rsidR="003450C5" w:rsidRDefault="003450C5" w:rsidP="0057789E">
      <w:pPr>
        <w:rPr>
          <w:rFonts w:ascii="Arial" w:hAnsi="Arial" w:cs="Arial"/>
          <w:b/>
          <w:sz w:val="24"/>
          <w:szCs w:val="24"/>
        </w:rPr>
        <w:sectPr w:rsidR="003450C5"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pPr>
    </w:p>
    <w:p w:rsidR="00843C93" w:rsidRPr="0057789E" w:rsidRDefault="00843C93" w:rsidP="0057789E">
      <w:pPr>
        <w:rPr>
          <w:rFonts w:ascii="Arial" w:hAnsi="Arial" w:cs="Arial"/>
          <w:b/>
          <w:sz w:val="24"/>
          <w:szCs w:val="24"/>
        </w:rPr>
      </w:pPr>
      <w:bookmarkStart w:id="20" w:name="_GoBack"/>
      <w:bookmarkEnd w:id="20"/>
    </w:p>
    <w:sectPr w:rsidR="00843C93" w:rsidRPr="0057789E"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C9E" w:rsidRDefault="007B2C9E">
      <w:pPr>
        <w:spacing w:after="0" w:line="240" w:lineRule="auto"/>
      </w:pPr>
      <w:r>
        <w:separator/>
      </w:r>
    </w:p>
  </w:endnote>
  <w:endnote w:type="continuationSeparator" w:id="0">
    <w:p w:rsidR="007B2C9E" w:rsidRDefault="007B2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Pr="00B2008A">
      <w:rPr>
        <w:rFonts w:ascii="Arial" w:hAnsi="Arial" w:cs="Arial"/>
        <w:sz w:val="20"/>
        <w:szCs w:val="20"/>
      </w:rPr>
      <w:tab/>
      <w:t xml:space="preserve">                                           </w:t>
    </w:r>
  </w:p>
  <w:p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3450C5">
      <w:rPr>
        <w:rFonts w:ascii="Arial" w:hAnsi="Arial" w:cs="Arial"/>
        <w:noProof/>
        <w:sz w:val="20"/>
        <w:szCs w:val="20"/>
      </w:rPr>
      <w:t>6</w:t>
    </w:r>
    <w:r w:rsidR="00FF20AA" w:rsidRPr="00B2008A">
      <w:rPr>
        <w:rFonts w:ascii="Arial" w:hAnsi="Arial" w:cs="Arial"/>
        <w:noProof/>
        <w:sz w:val="20"/>
        <w:szCs w:val="20"/>
      </w:rPr>
      <w:fldChar w:fldCharType="end"/>
    </w:r>
  </w:p>
  <w:p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E9B" w:rsidRDefault="00034E9B" w:rsidP="00034E9B">
    <w:pPr>
      <w:tabs>
        <w:tab w:val="center" w:pos="4513"/>
        <w:tab w:val="right" w:pos="9026"/>
      </w:tabs>
      <w:spacing w:after="0"/>
    </w:pPr>
    <w:r>
      <w:t>Framework Ref: RM</w:t>
    </w:r>
    <w:r>
      <w:tab/>
      <w:t xml:space="preserve">                                           </w:t>
    </w:r>
  </w:p>
  <w:p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C9E" w:rsidRDefault="007B2C9E">
      <w:pPr>
        <w:spacing w:after="0" w:line="240" w:lineRule="auto"/>
      </w:pPr>
      <w:r>
        <w:separator/>
      </w:r>
    </w:p>
  </w:footnote>
  <w:footnote w:type="continuationSeparator" w:id="0">
    <w:p w:rsidR="007B2C9E" w:rsidRDefault="007B2C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C05D8F" w:rsidRPr="00B2008A">
      <w:rPr>
        <w:rFonts w:ascii="Arial" w:hAnsi="Arial" w:cs="Arial"/>
        <w:sz w:val="20"/>
        <w:szCs w:val="20"/>
        <w:lang w:eastAsia="en-GB"/>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135E0F"/>
    <w:rsid w:val="001B0AF6"/>
    <w:rsid w:val="003450C5"/>
    <w:rsid w:val="003C776E"/>
    <w:rsid w:val="003E3C9C"/>
    <w:rsid w:val="00497354"/>
    <w:rsid w:val="005313B5"/>
    <w:rsid w:val="0057789E"/>
    <w:rsid w:val="006325DC"/>
    <w:rsid w:val="00681EAD"/>
    <w:rsid w:val="006C4AE2"/>
    <w:rsid w:val="006D400A"/>
    <w:rsid w:val="006F7F5E"/>
    <w:rsid w:val="0076656E"/>
    <w:rsid w:val="00774CD0"/>
    <w:rsid w:val="007A2CAF"/>
    <w:rsid w:val="007B2C9E"/>
    <w:rsid w:val="00843C93"/>
    <w:rsid w:val="00863BC5"/>
    <w:rsid w:val="008A32B2"/>
    <w:rsid w:val="008B60EE"/>
    <w:rsid w:val="009427C1"/>
    <w:rsid w:val="00973BE3"/>
    <w:rsid w:val="009D6528"/>
    <w:rsid w:val="00A9462A"/>
    <w:rsid w:val="00B2008A"/>
    <w:rsid w:val="00B349A8"/>
    <w:rsid w:val="00C05D8F"/>
    <w:rsid w:val="00CB7960"/>
    <w:rsid w:val="00CF1DFF"/>
    <w:rsid w:val="00DD4AC6"/>
    <w:rsid w:val="00DD5DF9"/>
    <w:rsid w:val="00E30852"/>
    <w:rsid w:val="00E85424"/>
    <w:rsid w:val="00EF5E85"/>
    <w:rsid w:val="00F033D6"/>
    <w:rsid w:val="00F14554"/>
    <w:rsid w:val="00F20C81"/>
    <w:rsid w:val="00F328EC"/>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FD30-D660-443A-8FA4-6BCE0AFA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1145</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2018-06-14T15:09:00Z</dcterms:created>
  <dcterms:modified xsi:type="dcterms:W3CDTF">2018-06-18T10:54:00Z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